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8D" w:rsidRDefault="00E3218D" w:rsidP="00137B36">
      <w:pPr>
        <w:pStyle w:val="p4"/>
        <w:shd w:val="clear" w:color="auto" w:fill="FFFFFF"/>
        <w:spacing w:before="0" w:beforeAutospacing="0" w:after="0" w:afterAutospacing="0" w:line="276" w:lineRule="auto"/>
        <w:ind w:right="-23"/>
        <w:jc w:val="both"/>
        <w:rPr>
          <w:rStyle w:val="s1"/>
          <w:rFonts w:ascii="Verdana" w:hAnsi="Verdana"/>
          <w:b/>
          <w:bCs/>
          <w:color w:val="1F497D" w:themeColor="text2"/>
        </w:rPr>
      </w:pPr>
      <w:r w:rsidRPr="00137B36">
        <w:rPr>
          <w:rStyle w:val="s1"/>
          <w:rFonts w:ascii="Verdana" w:hAnsi="Verdana"/>
          <w:b/>
          <w:bCs/>
          <w:color w:val="1F497D" w:themeColor="text2"/>
        </w:rPr>
        <w:t>План семинара</w:t>
      </w:r>
      <w:r w:rsidR="00611421" w:rsidRPr="00137B36">
        <w:rPr>
          <w:rStyle w:val="s1"/>
          <w:rFonts w:ascii="Verdana" w:hAnsi="Verdana"/>
          <w:b/>
          <w:bCs/>
          <w:color w:val="1F497D" w:themeColor="text2"/>
        </w:rPr>
        <w:t xml:space="preserve"> </w:t>
      </w:r>
      <w:r w:rsidR="00611421" w:rsidRPr="00137B36">
        <w:rPr>
          <w:rFonts w:ascii="Verdana" w:hAnsi="Verdana"/>
          <w:b/>
          <w:color w:val="1F497D" w:themeColor="text2"/>
        </w:rPr>
        <w:t>по ИСО «Орион»</w:t>
      </w:r>
      <w:r w:rsidRPr="00137B36">
        <w:rPr>
          <w:rStyle w:val="s1"/>
          <w:rFonts w:ascii="Verdana" w:hAnsi="Verdana"/>
          <w:b/>
          <w:bCs/>
          <w:color w:val="1F497D" w:themeColor="text2"/>
        </w:rPr>
        <w:t>:</w:t>
      </w:r>
    </w:p>
    <w:p w:rsidR="00137B36" w:rsidRPr="00137B36" w:rsidRDefault="00137B36" w:rsidP="00137B36">
      <w:pPr>
        <w:pStyle w:val="p4"/>
        <w:shd w:val="clear" w:color="auto" w:fill="FFFFFF"/>
        <w:spacing w:before="0" w:beforeAutospacing="0" w:after="0" w:afterAutospacing="0" w:line="276" w:lineRule="auto"/>
        <w:ind w:right="-23"/>
        <w:jc w:val="both"/>
        <w:rPr>
          <w:rStyle w:val="s1"/>
          <w:rFonts w:ascii="Verdana" w:hAnsi="Verdana"/>
          <w:b/>
          <w:bCs/>
          <w:color w:val="1F497D" w:themeColor="text2"/>
        </w:rPr>
      </w:pPr>
    </w:p>
    <w:p w:rsidR="00137B36" w:rsidRPr="00137B36" w:rsidRDefault="00137B36" w:rsidP="00137B36">
      <w:pPr>
        <w:numPr>
          <w:ilvl w:val="0"/>
          <w:numId w:val="7"/>
        </w:num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 9:30-10:15 – регистрация участников семинара  </w:t>
      </w:r>
    </w:p>
    <w:p w:rsidR="00137B36" w:rsidRPr="00137B36" w:rsidRDefault="00137B36" w:rsidP="00137B36">
      <w:pPr>
        <w:numPr>
          <w:ilvl w:val="0"/>
          <w:numId w:val="7"/>
        </w:num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10:00-11:30 начало семинара, первая часть семинара</w:t>
      </w:r>
    </w:p>
    <w:p w:rsidR="00137B36" w:rsidRPr="00137B36" w:rsidRDefault="00137B36" w:rsidP="00137B36">
      <w:pPr>
        <w:numPr>
          <w:ilvl w:val="0"/>
          <w:numId w:val="7"/>
        </w:num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11.30 – кофе-брейк  </w:t>
      </w:r>
    </w:p>
    <w:p w:rsidR="00137B36" w:rsidRPr="00137B36" w:rsidRDefault="00137B36" w:rsidP="00137B36">
      <w:pPr>
        <w:numPr>
          <w:ilvl w:val="0"/>
          <w:numId w:val="7"/>
        </w:num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12.00:14:00 – вторая часть семинара  </w:t>
      </w:r>
    </w:p>
    <w:p w:rsidR="00137B36" w:rsidRPr="00137B36" w:rsidRDefault="00137B36" w:rsidP="00137B36">
      <w:pPr>
        <w:numPr>
          <w:ilvl w:val="0"/>
          <w:numId w:val="7"/>
        </w:num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 xml:space="preserve">14:00-14.30 </w:t>
      </w:r>
      <w:r w:rsidR="004B3365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 xml:space="preserve">- </w:t>
      </w:r>
      <w:r w:rsidR="004B3365"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кофе-брейк  </w:t>
      </w:r>
    </w:p>
    <w:p w:rsidR="00137B36" w:rsidRPr="00137B36" w:rsidRDefault="00137B36" w:rsidP="00137B36">
      <w:pPr>
        <w:numPr>
          <w:ilvl w:val="0"/>
          <w:numId w:val="7"/>
        </w:num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14:30-16:00 третья часть семинара  </w:t>
      </w:r>
    </w:p>
    <w:p w:rsidR="00611421" w:rsidRPr="00137B36" w:rsidRDefault="00137B36" w:rsidP="00137B36">
      <w:pPr>
        <w:numPr>
          <w:ilvl w:val="0"/>
          <w:numId w:val="7"/>
        </w:num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16:00-17:00 вопросы к докладчикам семинара</w:t>
      </w:r>
    </w:p>
    <w:p w:rsidR="00137B36" w:rsidRPr="00137B36" w:rsidRDefault="00137B36" w:rsidP="00137B36">
      <w:pPr>
        <w:spacing w:after="0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</w:p>
    <w:p w:rsidR="00137B36" w:rsidRPr="00137B36" w:rsidRDefault="00137B36" w:rsidP="00137B36">
      <w:pPr>
        <w:spacing w:after="0"/>
        <w:ind w:firstLine="709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В 2017 году компания «Болид» начала поставки собственной линейки оборудования для систем видеонаблюдения. Первая часть семинара будет посвящена краткому обзору камер, видеорегистраторов и специальных аксессуаров.</w:t>
      </w:r>
    </w:p>
    <w:p w:rsidR="00137B36" w:rsidRPr="00137B36" w:rsidRDefault="00137B36" w:rsidP="00137B36">
      <w:pPr>
        <w:spacing w:after="0"/>
        <w:ind w:firstLine="709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Также помимо традиционного рассказа об ИСО «Орион» </w:t>
      </w:r>
      <w:r w:rsidRPr="00137B36">
        <w:rPr>
          <w:rFonts w:ascii="Verdana" w:eastAsia="Times New Roman" w:hAnsi="Verdana" w:cs="Arial"/>
          <w:b/>
          <w:bCs/>
          <w:color w:val="1F497D" w:themeColor="text2"/>
          <w:sz w:val="24"/>
          <w:szCs w:val="24"/>
          <w:lang w:eastAsia="ru-RU"/>
        </w:rPr>
        <w:t>будет уделено особое внимание новым приборам системы</w:t>
      </w: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, которые уже были выпущены в конце 2016 года и готовятся к выпуску. Будут рассмотрены типовые схемы и даны рекомендации по применению следующих изделий: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нового поколения пульта «С2000М» вер.3.03;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адресных охранных и пожарных извещателей «С2000-ПИРОН», линейки «С2000-СПЕКТРОН», «С2000-ДЗ», «С2000-ИПГ», «С2000-СТ исп.03»;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адресных оповещателей «С2000-ОПЗ» и «С2000-ОСТ»;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адресной радиоканальной подсистемы на основе «С2000Р-АРР32»;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контроллера периметровых извещателей «С2000-Периметр»;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новых шкафов пожарной сигнализациии ШПС-12 и ШПС-24;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шкафа автоматического ввода резерва «ШВР»;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нового поколения контрольно-пускового блока «С2000-КПБ» вер.3.02 с возможностью контроля исправности линии с несколькими нагрузками во включенном состоянии;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нового поколения блока «С2000-ПТ» со встроенными индикаторами обратного отсчета задержек запуска;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новой версии контроллера доступа «С2000-2» 2.20;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новых считывателей «Proxy-5MSG» и «Proxy-5MSB» с функцией «антиклон» (защитой от копирования карт);</w:t>
      </w:r>
    </w:p>
    <w:p w:rsidR="00137B36" w:rsidRPr="00137B36" w:rsidRDefault="00137B36" w:rsidP="00137B36">
      <w:pPr>
        <w:numPr>
          <w:ilvl w:val="0"/>
          <w:numId w:val="8"/>
        </w:numPr>
        <w:spacing w:after="0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t>линейки сертифицированного по ГОСТ Р 53325-2012 оборудования для организации локальных сетей и ВОЛС.</w:t>
      </w:r>
    </w:p>
    <w:p w:rsidR="00137B36" w:rsidRDefault="00137B36" w:rsidP="00137B36">
      <w:pPr>
        <w:spacing w:after="0"/>
        <w:ind w:firstLine="709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  <w:lastRenderedPageBreak/>
        <w:t>Отдельно будут освещены новая логика работы пожарных входов блоков «Сигнал-10», «Сигнал-20П», «С2000-КДЛ» в соответсвии с ГОСТ Р 53325-2012 и процесс модернизации существующих АРМ «Орион Про» до версии 1.20.2.</w:t>
      </w:r>
    </w:p>
    <w:p w:rsidR="00137B36" w:rsidRPr="00137B36" w:rsidRDefault="00137B36" w:rsidP="00137B36">
      <w:pPr>
        <w:spacing w:after="0"/>
        <w:ind w:firstLine="709"/>
        <w:jc w:val="both"/>
        <w:rPr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</w:p>
    <w:p w:rsidR="00137B36" w:rsidRPr="00137B36" w:rsidRDefault="00137B36" w:rsidP="00137B36">
      <w:pPr>
        <w:spacing w:after="0" w:line="360" w:lineRule="auto"/>
        <w:ind w:firstLine="709"/>
        <w:jc w:val="both"/>
        <w:rPr>
          <w:rFonts w:ascii="Verdana" w:hAnsi="Verdana" w:cs="Arial"/>
          <w:color w:val="1F497D" w:themeColor="text2"/>
          <w:sz w:val="24"/>
          <w:szCs w:val="24"/>
          <w:shd w:val="clear" w:color="auto" w:fill="D4D4D4"/>
        </w:rPr>
      </w:pPr>
      <w:r w:rsidRPr="00137B36">
        <w:rPr>
          <w:rFonts w:ascii="Verdana" w:hAnsi="Verdana" w:cs="Arial"/>
          <w:color w:val="1F497D" w:themeColor="text2"/>
          <w:sz w:val="24"/>
          <w:szCs w:val="24"/>
        </w:rPr>
        <w:t xml:space="preserve">В рамках семинара специалисты </w:t>
      </w:r>
      <w:r w:rsidRPr="00137B36">
        <w:rPr>
          <w:rFonts w:ascii="Verdana" w:hAnsi="Verdana" w:cs="Arial"/>
          <w:color w:val="1F497D" w:themeColor="text2"/>
          <w:sz w:val="24"/>
          <w:szCs w:val="24"/>
          <w:shd w:val="clear" w:color="auto" w:fill="FFFFFF"/>
        </w:rPr>
        <w:t>ЗАО НВП «Болид»</w:t>
      </w:r>
      <w:r w:rsidRPr="00137B36">
        <w:rPr>
          <w:rFonts w:ascii="Verdana" w:hAnsi="Verdana" w:cs="Arial"/>
          <w:color w:val="1F497D" w:themeColor="text2"/>
          <w:sz w:val="24"/>
          <w:szCs w:val="24"/>
        </w:rPr>
        <w:t xml:space="preserve"> ответят на все вопросы слушателей.</w:t>
      </w:r>
    </w:p>
    <w:p w:rsidR="00137B36" w:rsidRPr="00137B36" w:rsidRDefault="00137B36" w:rsidP="00137B36">
      <w:pPr>
        <w:spacing w:after="0"/>
        <w:rPr>
          <w:rStyle w:val="s1"/>
          <w:rFonts w:ascii="Verdana" w:eastAsia="Times New Roman" w:hAnsi="Verdana" w:cs="Arial"/>
          <w:color w:val="1F497D" w:themeColor="text2"/>
          <w:sz w:val="24"/>
          <w:szCs w:val="24"/>
          <w:lang w:eastAsia="ru-RU"/>
        </w:rPr>
      </w:pP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bdr w:val="none" w:sz="0" w:space="0" w:color="auto" w:frame="1"/>
          <w:lang w:eastAsia="ru-RU"/>
        </w:rPr>
        <w:t>Новая линейка оборудования для систем видеонаблюдения.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 Новые подходы использования ИСО «Орион» для систем видеонаблюдения. Обзор линейки видеокамер (IP и аналоговых высокой четкости): цилиндрические, купольные, eyeball, fisheye, кубические, корпусные, поворотные. Обзор линейки видеорегистраторов (IP и аналоговых). Бесплатное ПО Bolid Vision. Аксессуары: коммутаторы, инжекторы, мониторы, пульты, термокожухи, кронштейны и монтажные коробки. Ключевые особенности линейки.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Общая информация о системе. Краткий обзор.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 Магистральный интерфейс RS-485, физическая структура и протокол передачи данных; параметры интерфейса, разновидности топологий, повторители и преобразователи для ближней связи.ТТХ и работа приборов с радиальными ШС ("Сигнал-20 исп.02", "Сигнал-20П", "Сигнал-20М", "C2000-4"); инновационный ППКОП «Сигнал-10», адресные пороговые извещатели «ДИП-34ПА-03», «С2000-ИППА-03», «ИПР-513-3ПАМ». Новая логика работы пожарных входов блоков «Сигнал-10», «Сигнал-20П» в соответствии с ГОСТ Р 53325-2012. Адресно-аналоговая подсистема охранно-пожарной сигнализации на базе контроллеров «С2000-КДЛ» и «С2000-КДЛ-2И». Новая база для дымовых и тепловых извещателей, пожарные извещатели серии -03. Новые адресные извещатели «С2000-ПИРОН», «С2000-СТ исп.03», линейка «С2000-СПЕКТРОН», «С2000-ДЗ», «С2000-ИПГ». Адресные оповещатели «С2000-ОПЗ» и «С2000-ОСТ». Новые функции программы Uprog, облегчающие конфигурирование крупных систем. Контроллер периметральных извещателей “С2000-Периметр”.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Реализация управления системами дымоудаления на базе оборудования ИСО «Орион»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. Адресные блоки для управления приводами клапанов дымоудаления и вентиляции «С2000-СП4/24» и «С2000-СП4/200». Адресный релейный блок «С2000-СП2 исп.02». Характеристики, типовые схемы применения. Блок индикации и управления ОПС и клапанами «С2000-БКИ».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Управление системами пожаротушения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 xml:space="preserve">. Газовое и порошковое тушение. Приборы пожарные управления "С2000-АСПТ" вер.3.50. Газовые и порошковые модули, особенности контроля состояния. Новые поколения 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lastRenderedPageBreak/>
        <w:t>контрольно-пускового блока "С2000-КПБ" 3.02 с возможностью контроля исправности линии с несколькими нагрузками во включенном состоянии и блока индикации и управления "С2000-ПТ" со встроенными индикаторами обратного отсчета задержки запуска. Типовые схемы. Прибор управления водяным пожаротушением "Поток-3Н" и блок индикации и управления водяным пожаротушением «Поток-БКИ». Шкафы контрольно-пусковые ШКП, шкаф «ШКП 250» с возможностью организации «плавного пуска». Особенности построения систем спринклерного, дренчерного, пенного пожаротушения и пожарного водопровода.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Управление системами оповещения и эвакуации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. Блоки речевого оповещения «Рупор исп. 01» и новое поколение блока «Рупор» вер.3.0. Модуль речевого оповещения и трансляции «Рупор-200». Технические характеристики, типовые схемы подключения оповещателей, ПО «Аудио Сервер». Сценарии управления многозонными системами оповещения. Комплекс технических средств «Рупор – Диспетчер».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Организация электропитания систем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. Краткий обзор. Две линейки резервированных источников питания «РИП» (для технических средств пожарной автоматики и общего применения с микропроцессорным управлением). Дополнительные периферийные модули. Источники питания  с информационным RS-485 интерфейсом. Новые шкафы пожарной сигнализации «ШПС-12» и «ШПС-24». Шкаф управления автоматическим вводом резерва «ШВР». Малогабаритные источники питания «МИП». Новый блок защиты «БЗС исп.01».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Системы контроля и управления доступом.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 Прибор приемно-контрольный с функциями контроля доступа «С2000-4» 3.0х. Новое поколение контроллеров «С2000-2» вер.2.20. Характеристики, типовые схемы применения. Коды принуждения, новый принцип формирования уровней доступа, новые тактики работы ШС. Перспективный сетевой контроллер «С2000-КД». Новые считыватели производства НВП «Болид» «Proxy-5A» и «Proxy-Key» различных модификаций. Применение настольных считывателей с USB интерфейсом. Новая линейка считывателей «Proxy-5MS» с функцией «антиклон». Биометрические контроллеры «С2000-BIOAccess-F18» и «С2000-BIOAccess-MA300». Биометрический USB-считыватель «С2000-BIOAccess-ZK4500».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Архитектура системы. Центральные контроллеры. Программное обеспечение.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 xml:space="preserve"> Центральные контроллеры ИСО "Орион". Основные понятия системы: шлейфы, входы, разделы. Пульты «С2000», «С2000-КС». Новое поколение пульта «С2000М» вер.3.02. Трансляция магистрального интерфейса RS-485 на дальние дистанции, преобразователи «С2000-USB», «USB-RS485», «USB-RS232», «C2000-Ethernet», «С2000-РПИ». Новая линейка 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lastRenderedPageBreak/>
        <w:t>сертифицированного оборудования для организации ЛВС и ВОЛС: Ethernet-SW8, Ethernet-FX, RS-FX. Преобразователь протокола системы «Орион» в Modbus-RTU «С2000-ПП». АРМ «Орион ПРО». Краткий обзор системы. Основные характеристики системы. Сетевые модули системы. Архитектура системы. Протокол «Орион ПРО». Принципы управления в системе, терминология. Переход на АРМ «Орион Про» вер.1.20, новые ключи защиты. Построение систем видеонаблюдения на сетевых камерах на базе видеосистемы "Орион Про". Сетевые камеры. Принципы и особенности применения. Преимущества сетевых камер. Модуль распознавания автомобильных номеров «Орион Авто».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 w:firstLine="284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Системы передачи извещений и мониторинга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. Краткий обзор. Устройства передачи извещений: телефонный информатор «С2000-ИТ», устройство оконечное для сетей сотовой связи «УО-4С исп.02», трехканальное оконечное устройство «C2000-PGE». РСПИ «Орион Радио». АРМ «Эгида исп. 03». Полноценная поддержка в АРМ «Эгида исп. 03» протокола системы «Орион».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Системы учета ресурсов. Краткий обзор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. Адресные счётчики расхода/количества «C2000-АСР2», «С2000-АСР8». Новые приборы учета «Ресурс-GSM». ПО АРМ «Ресурс».</w:t>
      </w:r>
    </w:p>
    <w:p w:rsidR="00611421" w:rsidRPr="00137B36" w:rsidRDefault="00611421" w:rsidP="00137B36">
      <w:pPr>
        <w:numPr>
          <w:ilvl w:val="0"/>
          <w:numId w:val="6"/>
        </w:numPr>
        <w:spacing w:after="0"/>
        <w:ind w:left="0"/>
        <w:jc w:val="both"/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</w:pPr>
      <w:r w:rsidRPr="00137B36">
        <w:rPr>
          <w:rFonts w:ascii="Verdana" w:eastAsia="Times New Roman" w:hAnsi="Verdana" w:cs="Times New Roman"/>
          <w:b/>
          <w:bCs/>
          <w:color w:val="1F497D" w:themeColor="text2"/>
          <w:sz w:val="24"/>
          <w:szCs w:val="24"/>
          <w:lang w:eastAsia="ru-RU"/>
        </w:rPr>
        <w:t>Системы управления инженерными системами и жизнеобеспечением здания. Краткий обзор.</w:t>
      </w:r>
      <w:r w:rsidRPr="00137B36">
        <w:rPr>
          <w:rFonts w:ascii="Verdana" w:eastAsia="Times New Roman" w:hAnsi="Verdana" w:cs="Times New Roman"/>
          <w:color w:val="1F497D" w:themeColor="text2"/>
          <w:sz w:val="24"/>
          <w:szCs w:val="24"/>
          <w:lang w:eastAsia="ru-RU"/>
        </w:rPr>
        <w:t> Контроллеры технологические «С2000-Т», «С2000-Т» исп.01.</w:t>
      </w:r>
    </w:p>
    <w:p w:rsidR="00756578" w:rsidRPr="00137B36" w:rsidRDefault="00756578" w:rsidP="00137B36">
      <w:pPr>
        <w:spacing w:after="0"/>
        <w:jc w:val="both"/>
        <w:rPr>
          <w:rFonts w:ascii="Verdana" w:hAnsi="Verdana"/>
          <w:color w:val="1F497D" w:themeColor="text2"/>
          <w:sz w:val="24"/>
          <w:szCs w:val="24"/>
        </w:rPr>
      </w:pPr>
    </w:p>
    <w:sectPr w:rsidR="00756578" w:rsidRPr="00137B36" w:rsidSect="00F52037">
      <w:headerReference w:type="default" r:id="rId8"/>
      <w:footerReference w:type="default" r:id="rId9"/>
      <w:pgSz w:w="11906" w:h="16838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10" w:rsidRDefault="00345510" w:rsidP="001D273C">
      <w:pPr>
        <w:spacing w:after="0" w:line="240" w:lineRule="auto"/>
      </w:pPr>
      <w:r>
        <w:separator/>
      </w:r>
    </w:p>
  </w:endnote>
  <w:endnote w:type="continuationSeparator" w:id="1">
    <w:p w:rsidR="00345510" w:rsidRDefault="00345510" w:rsidP="001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9472"/>
      <w:docPartObj>
        <w:docPartGallery w:val="Page Numbers (Bottom of Page)"/>
        <w:docPartUnique/>
      </w:docPartObj>
    </w:sdtPr>
    <w:sdtContent>
      <w:p w:rsidR="00F52037" w:rsidRDefault="000D6975">
        <w:pPr>
          <w:pStyle w:val="a7"/>
          <w:jc w:val="center"/>
        </w:pPr>
        <w:fldSimple w:instr=" PAGE   \* MERGEFORMAT ">
          <w:r w:rsidR="004B3365">
            <w:rPr>
              <w:noProof/>
            </w:rPr>
            <w:t>1</w:t>
          </w:r>
        </w:fldSimple>
      </w:p>
    </w:sdtContent>
  </w:sdt>
  <w:p w:rsidR="00C519F1" w:rsidRDefault="00C519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10" w:rsidRDefault="00345510" w:rsidP="001D273C">
      <w:pPr>
        <w:spacing w:after="0" w:line="240" w:lineRule="auto"/>
      </w:pPr>
      <w:r>
        <w:separator/>
      </w:r>
    </w:p>
  </w:footnote>
  <w:footnote w:type="continuationSeparator" w:id="1">
    <w:p w:rsidR="00345510" w:rsidRDefault="00345510" w:rsidP="001D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doub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43"/>
      <w:gridCol w:w="7739"/>
    </w:tblGrid>
    <w:tr w:rsidR="0066730E" w:rsidRPr="004B3365" w:rsidTr="00337D26">
      <w:tc>
        <w:tcPr>
          <w:tcW w:w="2943" w:type="dxa"/>
        </w:tcPr>
        <w:p w:rsidR="0066730E" w:rsidRDefault="00337D26" w:rsidP="0066730E">
          <w:pPr>
            <w:pStyle w:val="a5"/>
            <w:tabs>
              <w:tab w:val="left" w:pos="705"/>
              <w:tab w:val="right" w:pos="10466"/>
            </w:tabs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080000" cy="1080000"/>
                <wp:effectExtent l="0" t="0" r="6350" b="635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х3_Русичи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6730E" w:rsidRPr="00337D26" w:rsidRDefault="0066730E" w:rsidP="0066730E">
          <w:pPr>
            <w:pStyle w:val="a5"/>
            <w:tabs>
              <w:tab w:val="left" w:pos="705"/>
              <w:tab w:val="right" w:pos="10466"/>
            </w:tabs>
            <w:rPr>
              <w:noProof/>
              <w:color w:val="365F91" w:themeColor="accent1" w:themeShade="BF"/>
              <w:lang w:eastAsia="ru-RU"/>
            </w:rPr>
          </w:pPr>
          <w:r w:rsidRPr="00337D26">
            <w:rPr>
              <w:noProof/>
              <w:color w:val="365F91" w:themeColor="accent1" w:themeShade="BF"/>
              <w:lang w:eastAsia="ru-RU"/>
            </w:rPr>
            <w:t>Мы продаем безопасность!</w:t>
          </w:r>
        </w:p>
        <w:p w:rsidR="007302CD" w:rsidRDefault="007302CD" w:rsidP="0066730E">
          <w:pPr>
            <w:pStyle w:val="a5"/>
            <w:tabs>
              <w:tab w:val="left" w:pos="705"/>
              <w:tab w:val="right" w:pos="10466"/>
            </w:tabs>
            <w:rPr>
              <w:noProof/>
              <w:lang w:eastAsia="ru-RU"/>
            </w:rPr>
          </w:pPr>
        </w:p>
      </w:tc>
      <w:tc>
        <w:tcPr>
          <w:tcW w:w="7739" w:type="dxa"/>
        </w:tcPr>
        <w:p w:rsidR="0066730E" w:rsidRPr="00337D26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</w:pPr>
          <w:r w:rsidRPr="00337D26">
            <w:rPr>
              <w:b/>
              <w:noProof/>
              <w:color w:val="365F91" w:themeColor="accent1" w:themeShade="BF"/>
              <w:sz w:val="24"/>
              <w:szCs w:val="24"/>
              <w:lang w:eastAsia="ru-RU"/>
            </w:rPr>
            <w:t>Торговый дом «Русичи»</w:t>
          </w:r>
        </w:p>
        <w:p w:rsidR="0066730E" w:rsidRPr="00337D26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sz w:val="24"/>
              <w:szCs w:val="24"/>
              <w:lang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 г. Красноярск, ул. С</w:t>
          </w:r>
          <w:r w:rsidR="002F041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емафорная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 xml:space="preserve">, д. 219  </w:t>
          </w:r>
        </w:p>
        <w:p w:rsidR="0066730E" w:rsidRPr="002F7313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тел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.: 8 (391) 206-11-62</w:t>
          </w:r>
          <w:r w:rsidR="004E7050" w:rsidRPr="00F279E5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, 8 (391) 206-11-63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 </w:t>
          </w:r>
        </w:p>
        <w:p w:rsidR="0066730E" w:rsidRPr="002F7313" w:rsidRDefault="0066730E" w:rsidP="0066730E">
          <w:pPr>
            <w:pStyle w:val="a5"/>
            <w:tabs>
              <w:tab w:val="left" w:pos="705"/>
              <w:tab w:val="right" w:pos="10466"/>
            </w:tabs>
            <w:jc w:val="right"/>
            <w:rPr>
              <w:noProof/>
              <w:color w:val="365F91" w:themeColor="accent1" w:themeShade="BF"/>
              <w:lang w:val="en-US" w:eastAsia="ru-RU"/>
            </w:rPr>
          </w:pP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www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тд</w:t>
          </w:r>
          <w:r w:rsidR="00D32E7C" w:rsidRPr="00D32E7C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-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русичи</w:t>
          </w:r>
          <w:r w:rsidR="00D32E7C" w:rsidRPr="00D32E7C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="00D32E7C">
            <w:rPr>
              <w:noProof/>
              <w:color w:val="365F91" w:themeColor="accent1" w:themeShade="BF"/>
              <w:sz w:val="24"/>
              <w:szCs w:val="24"/>
              <w:lang w:eastAsia="ru-RU"/>
            </w:rPr>
            <w:t>рф</w:t>
          </w:r>
          <w:r w:rsidR="00D32E7C" w:rsidRPr="00D32E7C">
            <w:rPr>
              <w:lang w:val="en-US"/>
            </w:rPr>
            <w:t xml:space="preserve"> 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, 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e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-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mail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 xml:space="preserve">: 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krasrusichi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@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mail</w:t>
          </w:r>
          <w:r w:rsidRPr="002F7313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.</w:t>
          </w:r>
          <w:r w:rsidRPr="00337D26">
            <w:rPr>
              <w:noProof/>
              <w:color w:val="365F91" w:themeColor="accent1" w:themeShade="BF"/>
              <w:sz w:val="24"/>
              <w:szCs w:val="24"/>
              <w:lang w:val="en-US" w:eastAsia="ru-RU"/>
            </w:rPr>
            <w:t>ru</w:t>
          </w:r>
        </w:p>
      </w:tc>
    </w:tr>
  </w:tbl>
  <w:p w:rsidR="00AC54D9" w:rsidRPr="002F7313" w:rsidRDefault="00AC54D9" w:rsidP="0066730E">
    <w:pPr>
      <w:pStyle w:val="a5"/>
      <w:tabs>
        <w:tab w:val="left" w:pos="705"/>
        <w:tab w:val="right" w:pos="10466"/>
      </w:tabs>
      <w:rPr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B28BE"/>
    <w:multiLevelType w:val="hybridMultilevel"/>
    <w:tmpl w:val="5CE8B9AC"/>
    <w:lvl w:ilvl="0" w:tplc="F7F07454">
      <w:start w:val="1"/>
      <w:numFmt w:val="decimal"/>
      <w:lvlText w:val="%1"/>
      <w:lvlJc w:val="left"/>
      <w:pPr>
        <w:ind w:left="1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97" w:hanging="180"/>
      </w:pPr>
      <w:rPr>
        <w:rFonts w:cs="Times New Roman"/>
      </w:rPr>
    </w:lvl>
  </w:abstractNum>
  <w:abstractNum w:abstractNumId="1">
    <w:nsid w:val="2DC93C45"/>
    <w:multiLevelType w:val="hybridMultilevel"/>
    <w:tmpl w:val="1B341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E52A12"/>
    <w:multiLevelType w:val="multilevel"/>
    <w:tmpl w:val="5EBA9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D3E95"/>
    <w:multiLevelType w:val="multilevel"/>
    <w:tmpl w:val="5040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C35E9"/>
    <w:multiLevelType w:val="multilevel"/>
    <w:tmpl w:val="E676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163E9"/>
    <w:multiLevelType w:val="hybridMultilevel"/>
    <w:tmpl w:val="6C36EF42"/>
    <w:lvl w:ilvl="0" w:tplc="CC5C9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90871"/>
    <w:multiLevelType w:val="hybridMultilevel"/>
    <w:tmpl w:val="25AE0022"/>
    <w:lvl w:ilvl="0" w:tplc="0419000F">
      <w:start w:val="1"/>
      <w:numFmt w:val="decimal"/>
      <w:lvlText w:val="%1."/>
      <w:lvlJc w:val="left"/>
      <w:pPr>
        <w:ind w:left="13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8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</w:abstractNum>
  <w:abstractNum w:abstractNumId="7">
    <w:nsid w:val="793C4AF0"/>
    <w:multiLevelType w:val="hybridMultilevel"/>
    <w:tmpl w:val="E2A693A6"/>
    <w:lvl w:ilvl="0" w:tplc="04190001">
      <w:start w:val="1"/>
      <w:numFmt w:val="bullet"/>
      <w:lvlText w:val=""/>
      <w:lvlJc w:val="left"/>
      <w:pPr>
        <w:ind w:left="1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1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7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0"/>
    <w:footnote w:id="1"/>
  </w:footnotePr>
  <w:endnotePr>
    <w:endnote w:id="0"/>
    <w:endnote w:id="1"/>
  </w:endnotePr>
  <w:compat/>
  <w:rsids>
    <w:rsidRoot w:val="00672363"/>
    <w:rsid w:val="000B58A1"/>
    <w:rsid w:val="000D6975"/>
    <w:rsid w:val="000E0655"/>
    <w:rsid w:val="000E2E52"/>
    <w:rsid w:val="00137B36"/>
    <w:rsid w:val="00191C77"/>
    <w:rsid w:val="00197E9A"/>
    <w:rsid w:val="001B1855"/>
    <w:rsid w:val="001C082B"/>
    <w:rsid w:val="001D273C"/>
    <w:rsid w:val="00221094"/>
    <w:rsid w:val="002516D8"/>
    <w:rsid w:val="002639EC"/>
    <w:rsid w:val="002D7769"/>
    <w:rsid w:val="002E63E4"/>
    <w:rsid w:val="002F0416"/>
    <w:rsid w:val="002F7313"/>
    <w:rsid w:val="00337D26"/>
    <w:rsid w:val="00345510"/>
    <w:rsid w:val="00383AE7"/>
    <w:rsid w:val="003C2B7A"/>
    <w:rsid w:val="003E2C68"/>
    <w:rsid w:val="00405E3C"/>
    <w:rsid w:val="0042747F"/>
    <w:rsid w:val="004411C0"/>
    <w:rsid w:val="00446F9A"/>
    <w:rsid w:val="00475550"/>
    <w:rsid w:val="004B3365"/>
    <w:rsid w:val="004D2A49"/>
    <w:rsid w:val="004E4DA9"/>
    <w:rsid w:val="004E7050"/>
    <w:rsid w:val="00517A3F"/>
    <w:rsid w:val="005B1FE6"/>
    <w:rsid w:val="005C2894"/>
    <w:rsid w:val="00611421"/>
    <w:rsid w:val="0066730E"/>
    <w:rsid w:val="00672363"/>
    <w:rsid w:val="006C742B"/>
    <w:rsid w:val="006E4E3C"/>
    <w:rsid w:val="007029A6"/>
    <w:rsid w:val="007302CD"/>
    <w:rsid w:val="0075554C"/>
    <w:rsid w:val="00756578"/>
    <w:rsid w:val="007730D0"/>
    <w:rsid w:val="00773D7D"/>
    <w:rsid w:val="00822375"/>
    <w:rsid w:val="00824FAC"/>
    <w:rsid w:val="0084683E"/>
    <w:rsid w:val="00885552"/>
    <w:rsid w:val="008C3C89"/>
    <w:rsid w:val="008C54B6"/>
    <w:rsid w:val="009052D9"/>
    <w:rsid w:val="00936BF3"/>
    <w:rsid w:val="00944F29"/>
    <w:rsid w:val="00974A88"/>
    <w:rsid w:val="009A0686"/>
    <w:rsid w:val="009B42F6"/>
    <w:rsid w:val="009B6137"/>
    <w:rsid w:val="009D0301"/>
    <w:rsid w:val="00AC54D9"/>
    <w:rsid w:val="00AE7EDC"/>
    <w:rsid w:val="00B22554"/>
    <w:rsid w:val="00B23BF4"/>
    <w:rsid w:val="00B25E8F"/>
    <w:rsid w:val="00B95B96"/>
    <w:rsid w:val="00C04CAE"/>
    <w:rsid w:val="00C062B2"/>
    <w:rsid w:val="00C204C1"/>
    <w:rsid w:val="00C31EE9"/>
    <w:rsid w:val="00C32323"/>
    <w:rsid w:val="00C519F1"/>
    <w:rsid w:val="00C64BBB"/>
    <w:rsid w:val="00C80A8C"/>
    <w:rsid w:val="00CB2357"/>
    <w:rsid w:val="00CD7664"/>
    <w:rsid w:val="00D00236"/>
    <w:rsid w:val="00D32272"/>
    <w:rsid w:val="00D32E7C"/>
    <w:rsid w:val="00D37384"/>
    <w:rsid w:val="00D51C17"/>
    <w:rsid w:val="00D93E5E"/>
    <w:rsid w:val="00DD0EDC"/>
    <w:rsid w:val="00E002C3"/>
    <w:rsid w:val="00E3218D"/>
    <w:rsid w:val="00E5444B"/>
    <w:rsid w:val="00EC1AD0"/>
    <w:rsid w:val="00ED1FA6"/>
    <w:rsid w:val="00F279E5"/>
    <w:rsid w:val="00F457D0"/>
    <w:rsid w:val="00F52037"/>
    <w:rsid w:val="00F62B69"/>
    <w:rsid w:val="00F872DA"/>
    <w:rsid w:val="00F87EE1"/>
    <w:rsid w:val="00F9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13"/>
  </w:style>
  <w:style w:type="paragraph" w:styleId="2">
    <w:name w:val="heading 2"/>
    <w:basedOn w:val="a"/>
    <w:link w:val="20"/>
    <w:uiPriority w:val="9"/>
    <w:qFormat/>
    <w:rsid w:val="00427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7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73C"/>
  </w:style>
  <w:style w:type="paragraph" w:styleId="a7">
    <w:name w:val="footer"/>
    <w:basedOn w:val="a"/>
    <w:link w:val="a8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73C"/>
  </w:style>
  <w:style w:type="character" w:styleId="a9">
    <w:name w:val="Hyperlink"/>
    <w:basedOn w:val="a0"/>
    <w:uiPriority w:val="99"/>
    <w:unhideWhenUsed/>
    <w:rsid w:val="00AC54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74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7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2747F"/>
    <w:rPr>
      <w:b/>
      <w:bCs/>
    </w:rPr>
  </w:style>
  <w:style w:type="character" w:customStyle="1" w:styleId="apple-converted-space">
    <w:name w:val="apple-converted-space"/>
    <w:basedOn w:val="a0"/>
    <w:rsid w:val="0042747F"/>
  </w:style>
  <w:style w:type="character" w:customStyle="1" w:styleId="ttl1">
    <w:name w:val="ttl1"/>
    <w:rsid w:val="0042747F"/>
    <w:rPr>
      <w:rFonts w:ascii="Tahoma" w:hAnsi="Tahoma" w:cs="Tahoma" w:hint="default"/>
      <w:color w:val="53809A"/>
      <w:sz w:val="27"/>
      <w:szCs w:val="27"/>
    </w:rPr>
  </w:style>
  <w:style w:type="character" w:customStyle="1" w:styleId="s1">
    <w:name w:val="s1"/>
    <w:uiPriority w:val="99"/>
    <w:rsid w:val="00C32323"/>
  </w:style>
  <w:style w:type="character" w:customStyle="1" w:styleId="s2">
    <w:name w:val="s2"/>
    <w:uiPriority w:val="99"/>
    <w:rsid w:val="00C32323"/>
  </w:style>
  <w:style w:type="paragraph" w:customStyle="1" w:styleId="p4">
    <w:name w:val="p4"/>
    <w:basedOn w:val="a"/>
    <w:uiPriority w:val="99"/>
    <w:rsid w:val="00E3218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273C"/>
  </w:style>
  <w:style w:type="paragraph" w:styleId="a7">
    <w:name w:val="footer"/>
    <w:basedOn w:val="a"/>
    <w:link w:val="a8"/>
    <w:uiPriority w:val="99"/>
    <w:unhideWhenUsed/>
    <w:rsid w:val="001D2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273C"/>
  </w:style>
  <w:style w:type="character" w:styleId="a9">
    <w:name w:val="Hyperlink"/>
    <w:basedOn w:val="a0"/>
    <w:uiPriority w:val="99"/>
    <w:unhideWhenUsed/>
    <w:rsid w:val="00AC54D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6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7C5C-88EB-40A9-AAF7-1DEAA98C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16</cp:revision>
  <cp:lastPrinted>2015-08-10T08:12:00Z</cp:lastPrinted>
  <dcterms:created xsi:type="dcterms:W3CDTF">2016-04-12T02:10:00Z</dcterms:created>
  <dcterms:modified xsi:type="dcterms:W3CDTF">2017-11-10T07:12:00Z</dcterms:modified>
</cp:coreProperties>
</file>